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黄石市归国华侨联合会</w:t>
      </w:r>
    </w:p>
    <w:p>
      <w:pPr>
        <w:pStyle w:val="11"/>
        <w:ind w:left="0" w:leftChars="0" w:firstLine="0" w:firstLineChars="0"/>
        <w:jc w:val="center"/>
        <w:rPr>
          <w:rFonts w:hint="default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20</w:t>
      </w:r>
      <w:r>
        <w:rPr>
          <w:rFonts w:hint="eastAsia" w:cs="仿宋"/>
          <w:b/>
          <w:bCs/>
          <w:kern w:val="2"/>
          <w:sz w:val="40"/>
          <w:szCs w:val="40"/>
          <w:lang w:val="en-US" w:eastAsia="zh-CN" w:bidi="ar-SA"/>
        </w:rPr>
        <w:t>21</w:t>
      </w: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年度部门决算公开说明</w:t>
      </w:r>
    </w:p>
    <w:p>
      <w:pPr>
        <w:pStyle w:val="11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目  录</w:t>
      </w:r>
    </w:p>
    <w:p>
      <w:pPr>
        <w:pStyle w:val="11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一、部门职责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二、机构设置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三、20</w:t>
      </w:r>
      <w:r>
        <w:rPr>
          <w:rFonts w:hint="eastAsia" w:cs="仿宋"/>
          <w:kern w:val="2"/>
          <w:sz w:val="28"/>
          <w:szCs w:val="28"/>
          <w:highlight w:val="none"/>
          <w:lang w:val="en-US" w:eastAsia="zh-CN" w:bidi="ar-SA"/>
        </w:rPr>
        <w:t>21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年度部门决算情况说明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（一）收支决算的总体情况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（二）决算收入增减变化情况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（三）决算支出增减变化情况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（四）财政拨款收入支出决算情况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（五）一般公共预算财政拨款支出、基本支出决算情况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（六）“三公”经费支出情况</w:t>
      </w:r>
    </w:p>
    <w:p>
      <w:pP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（七）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“三公”经费</w:t>
      </w:r>
      <w:r>
        <w:rPr>
          <w:rFonts w:hint="eastAsia" w:ascii="仿宋_GB2312" w:hAnsi="仿宋" w:eastAsia="仿宋_GB2312"/>
          <w:sz w:val="28"/>
          <w:szCs w:val="28"/>
          <w:highlight w:val="none"/>
          <w:lang w:eastAsia="zh-CN"/>
        </w:rPr>
        <w:t>预算数与支出数对比</w:t>
      </w:r>
    </w:p>
    <w:p>
      <w:pP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</w:t>
      </w:r>
      <w:r>
        <w:rPr>
          <w:rFonts w:hint="eastAsia" w:cs="仿宋"/>
          <w:kern w:val="2"/>
          <w:sz w:val="28"/>
          <w:szCs w:val="28"/>
          <w:highlight w:val="none"/>
          <w:lang w:val="en-US" w:eastAsia="zh-CN" w:bidi="ar-SA"/>
        </w:rPr>
        <w:t>八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）机关运行经费支出情况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</w:t>
      </w:r>
      <w:r>
        <w:rPr>
          <w:rFonts w:hint="eastAsia" w:cs="仿宋"/>
          <w:kern w:val="2"/>
          <w:sz w:val="28"/>
          <w:szCs w:val="28"/>
          <w:highlight w:val="none"/>
          <w:lang w:val="en-US" w:eastAsia="zh-CN" w:bidi="ar-SA"/>
        </w:rPr>
        <w:t>九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）政府采购支出情况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</w:t>
      </w:r>
      <w:r>
        <w:rPr>
          <w:rFonts w:hint="eastAsia" w:cs="仿宋"/>
          <w:kern w:val="2"/>
          <w:sz w:val="28"/>
          <w:szCs w:val="28"/>
          <w:highlight w:val="none"/>
          <w:lang w:val="en-US" w:eastAsia="zh-CN" w:bidi="ar-SA"/>
        </w:rPr>
        <w:t>十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）国有资产占用情况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四、20</w:t>
      </w:r>
      <w:r>
        <w:rPr>
          <w:rFonts w:hint="eastAsia" w:cs="仿宋"/>
          <w:kern w:val="2"/>
          <w:sz w:val="28"/>
          <w:szCs w:val="28"/>
          <w:highlight w:val="none"/>
          <w:lang w:val="en-US" w:eastAsia="zh-CN" w:bidi="ar-SA"/>
        </w:rPr>
        <w:t>21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年度预算绩效情况的说明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（一）预算绩效管理工作开展情况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（二）部门决算中项目绩效自评结果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（三）绩效评级结果应用情况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五、名词解释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六、附件（公开的决算表格）</w:t>
      </w: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11"/>
        <w:jc w:val="both"/>
        <w:rPr>
          <w:rFonts w:hint="eastAsia" w:ascii="黑体" w:hAnsi="黑体" w:eastAsia="黑体"/>
          <w:sz w:val="36"/>
          <w:szCs w:val="36"/>
          <w:highlight w:val="none"/>
          <w:lang w:eastAsia="zh-CN"/>
        </w:rPr>
      </w:pP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一、部门职责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侨联是中国共产党领导的由归侨、侨眷组成的人民团体，是党和政府联系广大归侨、侨眷和海外侨胞的桥梁和纽带。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市侨联（市知联会、市留联会）主要职责如下：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1、引导和组织归侨、侨眷、党外知识分子、新的社会阶层人士、归国留学人员努力学习马列主义、毛泽东思想、邓小平理论、“三个代表”重要思想及科学发展观，全面贯彻党的十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大精神，深入学习贯彻新时代中国特色社会主义思想，做好他们的思想政治工作，团结和带领他们听党话，跟党走，为推动黄石转型升级、赶超发展，加快建设长江中游城市群区域性中心城市贡献力量。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密切联系广大归侨、侨眷、党外知识分子、新的社会阶层人士、归国留学人员及海外侨胞、海外留学人员，搭建沟通渠道，鼓励和引导他们积极投身祖国和家乡的科技发展和经济建设，围绕市委、市政府中心工作建言献策，促进黄石对外开放和交流合作，为引进资金、技术、设备和人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3、依法维护归侨、侨眷、党外知识分子、新的社会阶层人士、归国留学人员的合法权益和海外侨胞、海外留学人员在国内的正当权益；积极反映他们的意见和要求。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4、配合有关部门做好归侨、侨眷、党外知识分子、新的社会阶层人士、归国留学人员中代表性人士的政治安排推荐工作，参与政治协商，发挥民主监督作用，促进我市社会主义民主政治建设。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5、开展调查研究，指导推进基层组织建设，为上级部门制定相关政策提供建议和提案。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6、组织举办联谊、交流、考察和社会服务等活动，增强凝聚力，为我市科技文化教育事业和社会公益事业服务。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7、承担市委、市政府交办的有关事项。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市侨胞侨属（党外知识分子、留学人员）服务中心主要职责为：负责加强与归侨、侨眷、党外知识分子、新的社会阶层人士、归国留学人员及海外侨胞、海外留学人员的联系，组织开展联谊性活动；负责受理被侵犯权益的归侨、侨眷、党外知识分子、新的社会阶层人士、归国留学人员及海外侨胞、海外留学人员的申诉，提供法律和政策咨询，协调有关部门落实政策；负责为我市引进资金、技术、设备、人才等提供服务；负责指导相关基层组织开展海内外科技文化教育等交流活动，为促进我市科技文化教育事业和社会公益事业发展服务；负责有关专题调研，提出工作建议，提供调研材料，收集及整理各种信息资料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二、机构设置</w:t>
      </w:r>
    </w:p>
    <w:p>
      <w:pPr>
        <w:pStyle w:val="10"/>
        <w:ind w:left="0" w:leftChars="0"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在职在编人员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7人。行政人员3人，参公事业人员1人，非参公事业人员3人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其他人员1人。</w:t>
      </w:r>
    </w:p>
    <w:p>
      <w:pPr>
        <w:snapToGrid w:val="0"/>
        <w:spacing w:line="520" w:lineRule="exact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三、2021年度部门决算情况说明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（一）收支决算的总体情况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本年收入195.61万元，其中财政拨款187.38万元，其他收入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8.23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本年支出195.61万元，其中：基本支出156.62万元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人员经费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132.14万元,占总支出的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67.55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%；日常公用经费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24.48万元，占总支出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12.51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项目支出38.98万元，占总支出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19.93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（二）决算收入增减变化情况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本年收入195.61万元与去年同期141.59万元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，增加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54.02万元，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38.15%。主要原因是：增加办公用房改造经费及调入人员增加了人员经费支出。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highlight w:val="none"/>
          <w:lang w:val="en-US" w:eastAsia="zh-CN" w:bidi="ar-SA"/>
        </w:rPr>
        <w:t>（三）决算支出增减变化情况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本年支出195.61万元与去年同期141.87万元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，增加53.74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增幅37.88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%。其中：人员经费支出132.14万元，比去年同期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28.55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27.56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公用经费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24.48万元，比去年同期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7.91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增幅47.73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%;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项目经费支出38.98万元比去年同期21.71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万元增加17.2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增幅79.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55%。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主要原因是：上年度12月份才新进人员，只有当月经费，本年度新进人员按全年核算，增加办公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用房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改造经费及人员经费。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（四）财政拨款收入支出决算情况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本年财政拨款收入187.38万元，财政拨款支出187.38万元，其中人员经费支出132.14万元，日常公用经费支出16.26万元，项目经费支出38.98万元。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(五)一般公共预算财政拨款支出、基本支出决算情况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本年一般公共预算财政拨款支出187.38万元，其中人员经费支出132.14万元，日常公用经费支出16.26万元，项目支出38.98万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highlight w:val="none"/>
          <w:lang w:val="en-US" w:eastAsia="zh-CN" w:bidi="ar-SA"/>
        </w:rPr>
        <w:t>元。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（六）“三公”经费支出情况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“三公”经费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上年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1万元（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0万元；公务用车购置及运行维护费0万元，其中：公务用车购置费0万元，公务用车运行维护费0万元；公务接待费1万元），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“三公”经费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本年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年初预算数0.95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0万元；公务用车购置及运行维护费0万元，其中：公务用车购置费0万元，公务用车运行维护费0万元；公务接待费0.95万元），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减少主要原因：落实过紧日子要求压减公务接待费支出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上年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“三公”经费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决算数0.06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0万元；公务用车购置及运行维护费0万元，其中：公务用车购置费0万元，公务用车运行维护费0万元；公务接待费0.06万元），本年“三公”经费决算数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0.47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0.47万元），与上年对比增加0.41万元，主要原因是：省侨联来黄调研考察次数增加。增加了海外联谊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“三公”经费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预算数与支出数对比</w:t>
      </w:r>
    </w:p>
    <w:p>
      <w:pPr>
        <w:shd w:val="clear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“三公”经费本年年初预算数0.95万元（因公出国（境）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0万元；公务用车购置及运行维护费0万元，其中：公务用车购置费0万元，公务用车运行维护费0万元；公务接待费0.95万元）本年“三公”经费决算数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0.47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万元（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0万元；公务用车购置及运行维护费0万元，其中：公务用车购置费0万元，公务用车运行维护费0万元；公务接待费0.47万元），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“三公”经费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未超出预算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减少主要原因：落实过紧日子要求压减三公经费支出。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车辆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本单位账面数量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0辆，实际保有量0辆；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因公出国（境）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公务接待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批次及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次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（八）机关运行经费支出情况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yellow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本单位机关运行经费本年支出16.26万元，年初预算数16.58万元，比年初预算数减少0.32万元，减幅1.93%，主要原因是：厉行勤俭节约，严格成本控制，减少机关运行经费支出。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（九）政府采购支出情况</w:t>
      </w:r>
    </w:p>
    <w:p>
      <w:pPr>
        <w:ind w:firstLine="709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政府采购预算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>2万元，其中：货物类2万元、工程类0万元、服务类0万元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eastAsia="zh-CN"/>
        </w:rPr>
        <w:t>；本年政府采购支出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>1.98万元，其中货物类1.98万元、工程类0万元、服务类0万元。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" w:cs="Times New Roman"/>
          <w:kern w:val="2"/>
          <w:sz w:val="28"/>
          <w:szCs w:val="28"/>
          <w:highlight w:val="yellow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highlight w:val="none"/>
          <w:lang w:val="en-US" w:eastAsia="zh-CN"/>
        </w:rPr>
        <w:t>授予中小企业合同金额1.98万元，占政府采购支出总额的100%。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（十）国有资产占用情况</w:t>
      </w:r>
    </w:p>
    <w:p>
      <w:pPr>
        <w:snapToGrid w:val="0"/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国有资产占有情况说明为：截至2021年12月31日，我单位账面共有车辆0辆。单位价值 50 万元以上通用设备0台（套）；单位价值 100 万元以上专用设备0台（套）。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四、2021年度预算绩效情况的说明</w:t>
      </w:r>
    </w:p>
    <w:p>
      <w:pPr>
        <w:pStyle w:val="11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2021年，全市侨联按照中国侨联、省侨联的统一部署，深入学习贯彻习近平关于侨务工作的重要思想，广泛团结归侨侨眷，密切联系海外侨胞和留学人员，统筹抓好侨联改革、海外联谊、维护侨益、自身建设等各项工作，取得了新的进展，为服务黄石经济社会发展作出了积极贡献。</w:t>
      </w:r>
    </w:p>
    <w:p>
      <w:pPr>
        <w:numPr>
          <w:ilvl w:val="0"/>
          <w:numId w:val="0"/>
        </w:numPr>
        <w:ind w:firstLine="280" w:firstLineChars="1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（一）预算绩效管理工作开展情况</w:t>
      </w:r>
    </w:p>
    <w:p>
      <w:pPr>
        <w:shd w:val="clear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本单位对20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年度一般公共预算项目支出全面开展绩效自评，共涉及项目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2个，资金22万元，占一般公共预算项目支出预算总额的100%。从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评价情况来看，主要用于干部职工福利支出及个人和家庭补助，侨界困难群众慰问，侨联事业发展，开展工作支出。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组织开展整体支出绩效评价，产出指标全部职工按时发放工资奖励，按时发放到位。效益指标：严格控制“三公”经费支出，更好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开展了各项活动。产出指标：救济慰问了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人次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拓展海外联谊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推进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侨之家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建设2个，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聘用公益性岗位工作人员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2名从事侨联海外联谊，党外知识分子联谊会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人才库建设，入库人数大幅增加。效益指标：服务了侨界群众，服务了黄石经济发展，促进了侨界的和谐稳定。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2021整体绩效自评结果95分，不足之处是没有提前做好全年的支出进度计划，在2022年度中争取完成全年整体绩效任务。</w:t>
      </w:r>
    </w:p>
    <w:p>
      <w:pPr>
        <w:pStyle w:val="2"/>
        <w:rPr>
          <w:rFonts w:hint="default" w:ascii="Times New Roman" w:hAnsi="Times New Roman" w:eastAsia="仿宋_GB2312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附：《2021年度侨联整体部门自评表》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57165" cy="3785235"/>
            <wp:effectExtent l="0" t="0" r="635" b="5715"/>
            <wp:docPr id="2" name="图片 2" descr="2021年侨联整体绩效自评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年侨联整体绩效自评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(二)部门决算中项目绩效自评结果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侨联事业发展专项：全年预算数为20万元，执行数为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18.40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万元，完成预算的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侨联事业发展自评分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95分，侨联困难归侨侨眷救济慰问绩效评分93分。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主要产出和效果：一是拓展海外联谊，邀请海外侨胞、港澳同胞来黄考察交流；二是推进社区侨之家建设，加强了党外知识分子人才库建设。发现的问题及原因：是资金使用中，上半年没有规划使用进度，导致下半年使用不完全，项目资金有所结余。下一步改进措施：一是预算批复后，计划专项使用的目标；二是定期核实专项使用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困难归侨侨眷救济慰问专项：全年预算数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万元，执行数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0.70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万元，完成预算的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%。主要产出和效果：慰问了困难归侨侨眷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人，服务了困难归侨侨眷，满意率98%。发现的问题及原因：一是此项目20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年发放困难归侨侨眷慰问资金中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明确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了一定要有《归侨侨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眷证》，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部分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归侨侨眷没有办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，二是有困难归侨侨眷证的同时，还有达到困难标准的要求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导致此专项大部分结余。下一步改进措施：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一是提前做好慰问摸底工作，二是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督促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归侨侨眷办理《归侨侨眷证》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侨联事业发展项目绩效自评综述：市侨联作为市直群团机关，年度工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作不仅有机关党建、绩效考评、综治平安单位创建等任务，还有文明创建、综合治理、完成参政议政、招商引资、挂钩帮扶、结对扶贫等服务大局工作，开展侨情和社情民意调查研究、举办委员活动、加强海内外侨联界联络联谊、侨联基层组织和侨胞之家建设、参与社会治理和维护侨益等基础性工作，以及开展其他参与社会服务等工作，存在业务工作经费偏少的突出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联络联谊作为侨联部门的一项基本职能，近年来市侨联与海外侨社团、侨领侨胞联系交流不断深入，海外联谊、引荐引捐“侨心工程”等工作成效日益显现，应邀出访任务加重。建议市财政部门对市侨联在全市统筹预算的基础上，根据需要给予适当追加相应工作经费。同时市党外知识分子联谊会、留学人员联谊会并入市侨联，没有增加任何经费，导致工作经费严重不足，影响了工作的正常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今后我们将进一步加大工作力度，做好资金使用规划，合理使用专项资金，提高资金使用效益，使用率，更好的为侨界群众提供精准服务，促进侨界的和谐稳定。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困难归侨侨眷救济慰问项目绩效自评综述：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highlight w:val="none"/>
          <w:lang w:eastAsia="zh-CN"/>
        </w:rPr>
        <w:t>一是每年提前做好救济慰问经费的统筹安排工作，做好侨界困难人士的调查摸底工作，将救济慰问专项经费合理、及时的发放到困难侨界群众手中。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是做好侨界信访工作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认真接待侨界群众来信来访，及时协调处理房屋拆迁、民事纠纷等问题。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存在问题：由于我市归侨侨眷人数较多，有些侨界群众信息收集不全，救济慰问面不宽，救济慰问力度离侨界群众期望相比还存在一定差距。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1：《2021年度侨联事业发展自评表》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5268595" cy="3827145"/>
            <wp:effectExtent l="0" t="0" r="8255" b="1905"/>
            <wp:docPr id="4" name="图片 4" descr="2021年侨联事业发展自评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年侨联事业发展自评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2：《侨联困难归侨侨眷救济慰问项目自评表》</w:t>
      </w:r>
    </w:p>
    <w:p>
      <w:pPr>
        <w:shd w:val="clear"/>
        <w:ind w:firstLine="64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248910" cy="3820795"/>
            <wp:effectExtent l="0" t="0" r="8890" b="8255"/>
            <wp:docPr id="5" name="图片 5" descr="2021年侨联救济慰问专项自评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年侨联救济慰问专项自评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（三）绩效评级结果应用情况：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 xml:space="preserve">市侨联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年部门决算报表审查中，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主要存在三个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问题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559" w:leftChars="266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预算执行率不高,资金使用效率低下。20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年市侨联困难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归侨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侨眷救济项目预算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万元，年终结余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1.3万元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，预算执行率为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%。经了解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市侨联掌握侨界群众信息不完备，年初预算编制预计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救济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慰问看望困难归侨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人次，20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年符合条件的实际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人数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人次，导致慰问人数锐减，项目资金结余量大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559" w:leftChars="266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2、公务接待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经费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预算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0.95万元，但2020年仅使用0.47万元，编制预算偏差大。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（四）、部门绩效评价结果拟应用情况。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840" w:firstLineChars="3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yellow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今后的工作中，市侨联将进一步加强财务管理，改进预算编制，及早做好项目规划、规范预算执行，绩效目标管理、完善项目分配办法和管理办法、加强项目管理、提高预算绩效管理水平。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仿宋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名词解释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1、财政拨款收入：指市级财政当年拨付的资金。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2、社会保障就业（类）行政事业单位离退休（款）归口管理的行政单位离退休（项）：指实行归口管理的行政单位(包括实行公务员管理的事业单位)开支的离退休经费。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3.医疗卫生（类）医疗保障（款）行政单位医疗（项）：指财政部门集中安排的行政单位基本医疗保险缴费经费，未参加医疗保险的行政单位的公费医疗经费，按国家规定享受离休人员的医疗经费。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4、其他收入：指除“财政拨款收入”、“事业收入”、“事业单位经营收入”等以外的收入。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5、上年结转：指以前年度尚未完成、结转到本年仍按原规定用途继续使用的资金。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6、机关运行经费支出：反映用于保障机构正常运行的经费。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7、“三公”经费：指用财政拨款安排的因公出国（境）费、公务用车购置及运行维护、公务接待费。其中，因公出国（境）费，指单位工作人员公务出国（境）的住宿费、旅费、伙食补助费、杂费、培训费等支出；公务用车购置及运行费，指单位公务用车购置及租用费、燃料费、维修费、过路过桥费、保险费、安全奖励费用等支出；公务接待费，指单位按规定开支的各类公务接待、商务接待（含外宾接待）支出。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highlight w:val="none"/>
          <w:lang w:val="en-US" w:eastAsia="zh-CN" w:bidi="ar-SA"/>
        </w:rPr>
        <w:t>六、附件（公开的决算表格）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收入支出决算总表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2、收入决算表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3、支出决算表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4、财政拨款收入支出决算总表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5、一般公共预算财政拨款支出决算表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6、一般公共预算财政拨款基本支出决算表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7、财政拨款“三公”经费支出决算表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8、政府性基金预算财政拨款收入支出决算表</w:t>
      </w:r>
    </w:p>
    <w:p>
      <w:pPr>
        <w:pStyle w:val="11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9、国有资本经营预算财政拨款支出决算表</w:t>
      </w:r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11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U1Mjc3ODg3ZGI1NTBhODY1MDk0MzQyZWFlZjMifQ=="/>
  </w:docVars>
  <w:rsids>
    <w:rsidRoot w:val="00000000"/>
    <w:rsid w:val="0050473C"/>
    <w:rsid w:val="00A75E5C"/>
    <w:rsid w:val="01BC7854"/>
    <w:rsid w:val="01BF7BC7"/>
    <w:rsid w:val="01C31CEA"/>
    <w:rsid w:val="01D67883"/>
    <w:rsid w:val="01FA7BB8"/>
    <w:rsid w:val="022E41A4"/>
    <w:rsid w:val="027B6179"/>
    <w:rsid w:val="02F75B00"/>
    <w:rsid w:val="033462F8"/>
    <w:rsid w:val="0380423A"/>
    <w:rsid w:val="03E7022B"/>
    <w:rsid w:val="03FB51A5"/>
    <w:rsid w:val="04295DA6"/>
    <w:rsid w:val="04711C99"/>
    <w:rsid w:val="049F32A7"/>
    <w:rsid w:val="04AC608E"/>
    <w:rsid w:val="051415C5"/>
    <w:rsid w:val="060C5B01"/>
    <w:rsid w:val="06292494"/>
    <w:rsid w:val="06643758"/>
    <w:rsid w:val="06A81828"/>
    <w:rsid w:val="076D1C40"/>
    <w:rsid w:val="07AF7C56"/>
    <w:rsid w:val="08ED2107"/>
    <w:rsid w:val="0A076072"/>
    <w:rsid w:val="0A1917B6"/>
    <w:rsid w:val="0A33443D"/>
    <w:rsid w:val="0A9C4A49"/>
    <w:rsid w:val="0AC26690"/>
    <w:rsid w:val="0B681C39"/>
    <w:rsid w:val="0B783477"/>
    <w:rsid w:val="0BB466FC"/>
    <w:rsid w:val="0BB8777B"/>
    <w:rsid w:val="0BB9336C"/>
    <w:rsid w:val="0C024BB9"/>
    <w:rsid w:val="0D48635B"/>
    <w:rsid w:val="0D6215DA"/>
    <w:rsid w:val="0D8331A2"/>
    <w:rsid w:val="0DB659B8"/>
    <w:rsid w:val="0DE23966"/>
    <w:rsid w:val="0E086B03"/>
    <w:rsid w:val="0E5306DE"/>
    <w:rsid w:val="0E7F56E7"/>
    <w:rsid w:val="0E886040"/>
    <w:rsid w:val="0F794533"/>
    <w:rsid w:val="10261701"/>
    <w:rsid w:val="103212D0"/>
    <w:rsid w:val="11022B09"/>
    <w:rsid w:val="112E37ED"/>
    <w:rsid w:val="115009A6"/>
    <w:rsid w:val="11A10124"/>
    <w:rsid w:val="121F6CC3"/>
    <w:rsid w:val="122C5925"/>
    <w:rsid w:val="126B7053"/>
    <w:rsid w:val="138D6393"/>
    <w:rsid w:val="13D23E88"/>
    <w:rsid w:val="14713715"/>
    <w:rsid w:val="16BB7BF2"/>
    <w:rsid w:val="16DB1188"/>
    <w:rsid w:val="17380CAF"/>
    <w:rsid w:val="17F1066D"/>
    <w:rsid w:val="18370FD7"/>
    <w:rsid w:val="18464CB2"/>
    <w:rsid w:val="19884E52"/>
    <w:rsid w:val="19A961DD"/>
    <w:rsid w:val="19AB0D50"/>
    <w:rsid w:val="1A0C3471"/>
    <w:rsid w:val="1A937966"/>
    <w:rsid w:val="1B112507"/>
    <w:rsid w:val="1B264B9C"/>
    <w:rsid w:val="1B550A26"/>
    <w:rsid w:val="1BF00515"/>
    <w:rsid w:val="1C4F2F14"/>
    <w:rsid w:val="1CC06EFC"/>
    <w:rsid w:val="1CFB48B7"/>
    <w:rsid w:val="1D0915EF"/>
    <w:rsid w:val="1DB501E1"/>
    <w:rsid w:val="1DB67DDA"/>
    <w:rsid w:val="1DBB1945"/>
    <w:rsid w:val="1DDF0A44"/>
    <w:rsid w:val="1DFB3CDA"/>
    <w:rsid w:val="1DFD553A"/>
    <w:rsid w:val="1EF03EB6"/>
    <w:rsid w:val="1F3E3710"/>
    <w:rsid w:val="1F997483"/>
    <w:rsid w:val="1F9F487F"/>
    <w:rsid w:val="1FBF1E4F"/>
    <w:rsid w:val="1FEF3E38"/>
    <w:rsid w:val="21411B78"/>
    <w:rsid w:val="225528AF"/>
    <w:rsid w:val="22BB30AF"/>
    <w:rsid w:val="23875BD9"/>
    <w:rsid w:val="23E715DF"/>
    <w:rsid w:val="23E7496D"/>
    <w:rsid w:val="241701EB"/>
    <w:rsid w:val="242E2F84"/>
    <w:rsid w:val="24361715"/>
    <w:rsid w:val="243C3826"/>
    <w:rsid w:val="245F5FE0"/>
    <w:rsid w:val="247A2846"/>
    <w:rsid w:val="249B7A3A"/>
    <w:rsid w:val="24A07BE8"/>
    <w:rsid w:val="24A80E9E"/>
    <w:rsid w:val="24C34FDB"/>
    <w:rsid w:val="262130DE"/>
    <w:rsid w:val="267B7ED3"/>
    <w:rsid w:val="27522393"/>
    <w:rsid w:val="277F2B1D"/>
    <w:rsid w:val="281D315F"/>
    <w:rsid w:val="296575CF"/>
    <w:rsid w:val="298C024A"/>
    <w:rsid w:val="29F81561"/>
    <w:rsid w:val="29FF5EBB"/>
    <w:rsid w:val="2A432A11"/>
    <w:rsid w:val="2A4E05A1"/>
    <w:rsid w:val="2A5C6965"/>
    <w:rsid w:val="2AAC2D32"/>
    <w:rsid w:val="2ABF4FC9"/>
    <w:rsid w:val="2AED5534"/>
    <w:rsid w:val="2B390819"/>
    <w:rsid w:val="2B771185"/>
    <w:rsid w:val="2BA875CF"/>
    <w:rsid w:val="2C021CC7"/>
    <w:rsid w:val="2C6555AF"/>
    <w:rsid w:val="2CD74D58"/>
    <w:rsid w:val="2D394BE6"/>
    <w:rsid w:val="2D525E96"/>
    <w:rsid w:val="2D556EB0"/>
    <w:rsid w:val="2DF149D7"/>
    <w:rsid w:val="2DFF5BF4"/>
    <w:rsid w:val="2F4B5F24"/>
    <w:rsid w:val="2F596018"/>
    <w:rsid w:val="2F7D0186"/>
    <w:rsid w:val="2F80180D"/>
    <w:rsid w:val="2FCF443E"/>
    <w:rsid w:val="2FE44114"/>
    <w:rsid w:val="2FEA3DA9"/>
    <w:rsid w:val="2FF74637"/>
    <w:rsid w:val="30101481"/>
    <w:rsid w:val="3035050B"/>
    <w:rsid w:val="30C714ED"/>
    <w:rsid w:val="31CD37C4"/>
    <w:rsid w:val="31D3079F"/>
    <w:rsid w:val="31DC6167"/>
    <w:rsid w:val="32A15FA9"/>
    <w:rsid w:val="3312466F"/>
    <w:rsid w:val="332512A7"/>
    <w:rsid w:val="33A6578F"/>
    <w:rsid w:val="34D0488B"/>
    <w:rsid w:val="357B7513"/>
    <w:rsid w:val="35820B11"/>
    <w:rsid w:val="367F7D99"/>
    <w:rsid w:val="372B3420"/>
    <w:rsid w:val="37445421"/>
    <w:rsid w:val="378E54BB"/>
    <w:rsid w:val="37E2416A"/>
    <w:rsid w:val="38054879"/>
    <w:rsid w:val="38974561"/>
    <w:rsid w:val="38F0491E"/>
    <w:rsid w:val="39527FE4"/>
    <w:rsid w:val="398A7148"/>
    <w:rsid w:val="39AD7E9A"/>
    <w:rsid w:val="3A901F9C"/>
    <w:rsid w:val="3AB76520"/>
    <w:rsid w:val="3B961B5F"/>
    <w:rsid w:val="3BE3626F"/>
    <w:rsid w:val="3C2C04DF"/>
    <w:rsid w:val="3C8235CD"/>
    <w:rsid w:val="3CD53106"/>
    <w:rsid w:val="3D1A6D03"/>
    <w:rsid w:val="3D2E3269"/>
    <w:rsid w:val="3D3E083D"/>
    <w:rsid w:val="3D953D6F"/>
    <w:rsid w:val="3DB7549B"/>
    <w:rsid w:val="3E0963F3"/>
    <w:rsid w:val="3F0070CE"/>
    <w:rsid w:val="3F4E3A63"/>
    <w:rsid w:val="3F57290A"/>
    <w:rsid w:val="4058741C"/>
    <w:rsid w:val="409C51F2"/>
    <w:rsid w:val="415E02A1"/>
    <w:rsid w:val="418F299B"/>
    <w:rsid w:val="42597E0F"/>
    <w:rsid w:val="434B740C"/>
    <w:rsid w:val="445E1468"/>
    <w:rsid w:val="4537114E"/>
    <w:rsid w:val="458C1EA8"/>
    <w:rsid w:val="465E782A"/>
    <w:rsid w:val="46F92697"/>
    <w:rsid w:val="470D1CAB"/>
    <w:rsid w:val="472D5980"/>
    <w:rsid w:val="4765322D"/>
    <w:rsid w:val="477E236C"/>
    <w:rsid w:val="4808010A"/>
    <w:rsid w:val="48A661D4"/>
    <w:rsid w:val="48B8796C"/>
    <w:rsid w:val="48C822B3"/>
    <w:rsid w:val="49E637A4"/>
    <w:rsid w:val="49F621E1"/>
    <w:rsid w:val="4A462180"/>
    <w:rsid w:val="4AC353B6"/>
    <w:rsid w:val="4B0F1798"/>
    <w:rsid w:val="4B1C3424"/>
    <w:rsid w:val="4B2E0697"/>
    <w:rsid w:val="4C493B38"/>
    <w:rsid w:val="4C747599"/>
    <w:rsid w:val="4CB123D7"/>
    <w:rsid w:val="4D604567"/>
    <w:rsid w:val="4D846C64"/>
    <w:rsid w:val="4DB0067E"/>
    <w:rsid w:val="4ED5783C"/>
    <w:rsid w:val="4FC461E5"/>
    <w:rsid w:val="4FF85AFB"/>
    <w:rsid w:val="501405BB"/>
    <w:rsid w:val="508A6075"/>
    <w:rsid w:val="50E15E38"/>
    <w:rsid w:val="51EF11DF"/>
    <w:rsid w:val="52793C2D"/>
    <w:rsid w:val="52CA4FF7"/>
    <w:rsid w:val="537B384C"/>
    <w:rsid w:val="53DC31D3"/>
    <w:rsid w:val="54A96D1A"/>
    <w:rsid w:val="554420FD"/>
    <w:rsid w:val="55477D76"/>
    <w:rsid w:val="55940891"/>
    <w:rsid w:val="55A31CC1"/>
    <w:rsid w:val="55A72D07"/>
    <w:rsid w:val="55BA13E9"/>
    <w:rsid w:val="5667634D"/>
    <w:rsid w:val="57450511"/>
    <w:rsid w:val="575E3392"/>
    <w:rsid w:val="579E5D41"/>
    <w:rsid w:val="588650B8"/>
    <w:rsid w:val="58B62F37"/>
    <w:rsid w:val="58D615B5"/>
    <w:rsid w:val="59DA65E2"/>
    <w:rsid w:val="5B235F65"/>
    <w:rsid w:val="5B4A6980"/>
    <w:rsid w:val="5BB80936"/>
    <w:rsid w:val="5CB87C9D"/>
    <w:rsid w:val="5E7C0768"/>
    <w:rsid w:val="5F0F0A53"/>
    <w:rsid w:val="5F3E077F"/>
    <w:rsid w:val="603B50D6"/>
    <w:rsid w:val="607B60E9"/>
    <w:rsid w:val="60B55A77"/>
    <w:rsid w:val="610109A3"/>
    <w:rsid w:val="611038AB"/>
    <w:rsid w:val="611F7522"/>
    <w:rsid w:val="61CC3020"/>
    <w:rsid w:val="61CD0EF5"/>
    <w:rsid w:val="622342C0"/>
    <w:rsid w:val="62B10217"/>
    <w:rsid w:val="62E57B20"/>
    <w:rsid w:val="63AC23C0"/>
    <w:rsid w:val="64B2065D"/>
    <w:rsid w:val="65381302"/>
    <w:rsid w:val="65A929FF"/>
    <w:rsid w:val="66F54D3F"/>
    <w:rsid w:val="66FD2C57"/>
    <w:rsid w:val="679C2032"/>
    <w:rsid w:val="67D25352"/>
    <w:rsid w:val="67DF4AEA"/>
    <w:rsid w:val="6872688F"/>
    <w:rsid w:val="68A039DC"/>
    <w:rsid w:val="696B6D11"/>
    <w:rsid w:val="69C25AB7"/>
    <w:rsid w:val="6A38317A"/>
    <w:rsid w:val="6A5175EC"/>
    <w:rsid w:val="6A5D0CA9"/>
    <w:rsid w:val="6A640096"/>
    <w:rsid w:val="6AF24CC7"/>
    <w:rsid w:val="6B1428C1"/>
    <w:rsid w:val="6B323379"/>
    <w:rsid w:val="6BF125AD"/>
    <w:rsid w:val="6C09654F"/>
    <w:rsid w:val="6C172B79"/>
    <w:rsid w:val="6C5D5816"/>
    <w:rsid w:val="6C8D7B9F"/>
    <w:rsid w:val="6D0F0240"/>
    <w:rsid w:val="6D4320B3"/>
    <w:rsid w:val="6D455A4C"/>
    <w:rsid w:val="6D7A23B8"/>
    <w:rsid w:val="6DF367B3"/>
    <w:rsid w:val="6E313676"/>
    <w:rsid w:val="6E3A03C5"/>
    <w:rsid w:val="6E3C60D4"/>
    <w:rsid w:val="6E6B37E1"/>
    <w:rsid w:val="6E7514E7"/>
    <w:rsid w:val="6E8B209C"/>
    <w:rsid w:val="6F865CC0"/>
    <w:rsid w:val="6FB63273"/>
    <w:rsid w:val="6FDE4F8F"/>
    <w:rsid w:val="6FE26C8B"/>
    <w:rsid w:val="70D80311"/>
    <w:rsid w:val="70EB60A8"/>
    <w:rsid w:val="71843288"/>
    <w:rsid w:val="71B37074"/>
    <w:rsid w:val="71B81279"/>
    <w:rsid w:val="725C1599"/>
    <w:rsid w:val="735B17AA"/>
    <w:rsid w:val="74865C96"/>
    <w:rsid w:val="755744EB"/>
    <w:rsid w:val="76E37D2B"/>
    <w:rsid w:val="782D2A35"/>
    <w:rsid w:val="78675596"/>
    <w:rsid w:val="78E653D7"/>
    <w:rsid w:val="7940109F"/>
    <w:rsid w:val="796D6887"/>
    <w:rsid w:val="79B04E89"/>
    <w:rsid w:val="79DD2E80"/>
    <w:rsid w:val="79DE09BE"/>
    <w:rsid w:val="7B7A67BB"/>
    <w:rsid w:val="7BDF6867"/>
    <w:rsid w:val="7C274CC2"/>
    <w:rsid w:val="7CBB07F1"/>
    <w:rsid w:val="7D6E7119"/>
    <w:rsid w:val="7E230853"/>
    <w:rsid w:val="7E4173A6"/>
    <w:rsid w:val="7E4F4B5D"/>
    <w:rsid w:val="7E9B3946"/>
    <w:rsid w:val="7EDB10A2"/>
    <w:rsid w:val="7EE34BBF"/>
    <w:rsid w:val="7F604C33"/>
    <w:rsid w:val="7F64528D"/>
    <w:rsid w:val="7F7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outlineLvl w:val="0"/>
    </w:pPr>
    <w:rPr>
      <w:rFonts w:eastAsia="方正小标宋简体" w:cs="Arial"/>
      <w:bCs/>
      <w:sz w:val="40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customStyle="1" w:styleId="10">
    <w:name w:val="正文-公1"/>
    <w:basedOn w:val="1"/>
    <w:next w:val="5"/>
    <w:qFormat/>
    <w:uiPriority w:val="99"/>
    <w:pPr>
      <w:ind w:firstLine="200" w:firstLineChars="200"/>
    </w:pPr>
    <w:rPr>
      <w:color w:val="000000"/>
      <w:szCs w:val="22"/>
    </w:rPr>
  </w:style>
  <w:style w:type="paragraph" w:customStyle="1" w:styleId="11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5215</Words>
  <Characters>5543</Characters>
  <Lines>0</Lines>
  <Paragraphs>0</Paragraphs>
  <TotalTime>6</TotalTime>
  <ScaleCrop>false</ScaleCrop>
  <LinksUpToDate>false</LinksUpToDate>
  <CharactersWithSpaces>5723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2022-09-26T01:12:00Z</cp:lastPrinted>
  <dcterms:modified xsi:type="dcterms:W3CDTF">2022-09-28T01:21:35Z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497979C75C85419B867027E16545E61C</vt:lpwstr>
  </property>
</Properties>
</file>